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8BBB" w14:textId="0E8826A0" w:rsidR="00B6622A" w:rsidRPr="00C0404D" w:rsidRDefault="00C0404D" w:rsidP="00B6622A">
      <w:pPr>
        <w:pStyle w:val="Naslov1"/>
        <w:tabs>
          <w:tab w:val="left" w:pos="708"/>
        </w:tabs>
        <w:ind w:left="432" w:hanging="432"/>
        <w:jc w:val="left"/>
        <w:rPr>
          <w:szCs w:val="22"/>
          <w:u w:val="none"/>
        </w:rPr>
      </w:pP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</w:r>
      <w:r w:rsidRPr="00C0404D">
        <w:rPr>
          <w:szCs w:val="22"/>
          <w:u w:val="none"/>
        </w:rPr>
        <w:tab/>
        <w:t>OBRAZEC O</w:t>
      </w:r>
      <w:r w:rsidR="00B6622A" w:rsidRPr="00C0404D">
        <w:rPr>
          <w:szCs w:val="22"/>
          <w:u w:val="none"/>
        </w:rPr>
        <w:t>BR</w:t>
      </w:r>
      <w:r w:rsidRPr="00C0404D">
        <w:rPr>
          <w:szCs w:val="22"/>
          <w:u w:val="none"/>
        </w:rPr>
        <w:t xml:space="preserve"> </w:t>
      </w:r>
      <w:r>
        <w:rPr>
          <w:szCs w:val="22"/>
          <w:u w:val="none"/>
        </w:rPr>
        <w:t>-</w:t>
      </w:r>
      <w:r w:rsidRPr="00C0404D">
        <w:rPr>
          <w:szCs w:val="22"/>
          <w:u w:val="none"/>
        </w:rPr>
        <w:t xml:space="preserve"> </w:t>
      </w:r>
      <w:r w:rsidR="00B6622A" w:rsidRPr="00C0404D">
        <w:rPr>
          <w:szCs w:val="22"/>
          <w:u w:val="none"/>
        </w:rPr>
        <w:t>3</w:t>
      </w:r>
      <w:r w:rsidRPr="00C0404D">
        <w:rPr>
          <w:szCs w:val="22"/>
          <w:u w:val="none"/>
        </w:rPr>
        <w:t>_</w:t>
      </w:r>
      <w:r w:rsidR="00B6622A" w:rsidRPr="00C0404D">
        <w:rPr>
          <w:szCs w:val="22"/>
          <w:u w:val="none"/>
        </w:rPr>
        <w:t>2  PREDRAČUN</w:t>
      </w:r>
    </w:p>
    <w:p w14:paraId="01F1412E" w14:textId="77777777" w:rsidR="00B6622A" w:rsidRPr="00C0404D" w:rsidRDefault="00B6622A" w:rsidP="00B6622A">
      <w:pPr>
        <w:rPr>
          <w:sz w:val="22"/>
          <w:szCs w:val="22"/>
        </w:rPr>
      </w:pPr>
    </w:p>
    <w:p w14:paraId="1F5E36B0" w14:textId="77777777" w:rsidR="00B6622A" w:rsidRPr="00C0404D" w:rsidRDefault="00B6622A" w:rsidP="00B6622A">
      <w:pPr>
        <w:rPr>
          <w:b/>
          <w:sz w:val="22"/>
          <w:szCs w:val="22"/>
        </w:rPr>
      </w:pPr>
      <w:r w:rsidRPr="00C0404D">
        <w:rPr>
          <w:b/>
          <w:sz w:val="22"/>
          <w:szCs w:val="22"/>
        </w:rPr>
        <w:t>Predmet javnega naročila: DOBAVA POGONSKEGA GORIVA ZA SLUŽBENA VOZILA ZD KAMNIK</w:t>
      </w:r>
    </w:p>
    <w:p w14:paraId="7C64C186" w14:textId="77777777" w:rsidR="00B6622A" w:rsidRPr="00C0404D" w:rsidRDefault="00B6622A" w:rsidP="00B6622A">
      <w:pPr>
        <w:rPr>
          <w:sz w:val="22"/>
          <w:szCs w:val="22"/>
        </w:rPr>
      </w:pPr>
    </w:p>
    <w:p w14:paraId="40611C61" w14:textId="152F3527" w:rsidR="00B6622A" w:rsidRPr="00C0404D" w:rsidRDefault="00B6622A" w:rsidP="00B6622A">
      <w:pPr>
        <w:spacing w:line="360" w:lineRule="auto"/>
        <w:rPr>
          <w:sz w:val="22"/>
          <w:szCs w:val="22"/>
        </w:rPr>
      </w:pPr>
      <w:r w:rsidRPr="00C0404D">
        <w:rPr>
          <w:b/>
          <w:sz w:val="22"/>
          <w:szCs w:val="22"/>
        </w:rPr>
        <w:t>PONUDNIK:</w:t>
      </w:r>
      <w:r w:rsidRPr="00C0404D">
        <w:rPr>
          <w:sz w:val="22"/>
          <w:szCs w:val="22"/>
        </w:rPr>
        <w:t xml:space="preserve"> </w:t>
      </w:r>
    </w:p>
    <w:tbl>
      <w:tblPr>
        <w:tblpPr w:leftFromText="180" w:rightFromText="180" w:bottomFromText="160" w:vertAnchor="text" w:horzAnchor="margin" w:tblpX="40" w:tblpY="201"/>
        <w:tblW w:w="90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2300"/>
        <w:gridCol w:w="1061"/>
        <w:gridCol w:w="803"/>
        <w:gridCol w:w="1694"/>
        <w:gridCol w:w="1186"/>
        <w:gridCol w:w="1561"/>
      </w:tblGrid>
      <w:tr w:rsidR="00594034" w:rsidRPr="00C0404D" w14:paraId="2A90680D" w14:textId="77777777" w:rsidTr="00135C9F">
        <w:trPr>
          <w:trHeight w:val="628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259CB4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spacing w:val="-2"/>
                <w:lang w:eastAsia="sl-SI"/>
              </w:rPr>
              <w:t>Št.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DF95F89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Pogonsko gorivo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D2E2CF" w14:textId="35F4A67E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Okvirna količina</w:t>
            </w:r>
            <w:r w:rsidR="00135C9F" w:rsidRPr="00C0404D">
              <w:rPr>
                <w:rFonts w:ascii="Times New Roman" w:eastAsia="Times New Roman" w:hAnsi="Times New Roman" w:cs="Times New Roman"/>
                <w:lang w:eastAsia="sl-SI"/>
              </w:rPr>
              <w:t>/leto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F540972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Enota mere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5FB49FB" w14:textId="76531FF6" w:rsidR="00594034" w:rsidRPr="00C0404D" w:rsidRDefault="00594034" w:rsidP="00C47EC6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C0404D">
              <w:rPr>
                <w:sz w:val="22"/>
                <w:szCs w:val="22"/>
              </w:rPr>
              <w:t>Cena na EM brez DDV na dan oddaje ponudbe</w:t>
            </w:r>
            <w:r w:rsidR="00583C79" w:rsidRPr="00C0404D">
              <w:rPr>
                <w:sz w:val="22"/>
                <w:szCs w:val="22"/>
              </w:rPr>
              <w:t>*</w:t>
            </w: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AEA6512" w14:textId="77777777" w:rsidR="00594034" w:rsidRPr="00C0404D" w:rsidRDefault="00594034" w:rsidP="00C47EC6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C0404D">
              <w:rPr>
                <w:sz w:val="22"/>
                <w:szCs w:val="22"/>
              </w:rPr>
              <w:t>Ponujeni popust v % na EM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D344D91" w14:textId="4400E3F3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 xml:space="preserve">Skupna  vrednost s pop. brez DDV </w:t>
            </w:r>
          </w:p>
        </w:tc>
      </w:tr>
      <w:tr w:rsidR="00594034" w:rsidRPr="00C0404D" w14:paraId="377DA222" w14:textId="77777777" w:rsidTr="00135C9F">
        <w:trPr>
          <w:trHeight w:val="628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F4934B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hAnsi="Times New Roman" w:cs="Times New Roman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41C34C2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Neosvinčeni motorni bencin 95 oktanov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4E79CB" w14:textId="56227AC1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highlight w:val="yellow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13.000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9A35A6D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3AD10734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l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00E162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3775B6B5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2387AC0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BC9CB00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689DF941" w14:textId="77777777" w:rsidTr="00135C9F">
        <w:trPr>
          <w:trHeight w:val="628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C1B1D0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hAnsi="Times New Roman" w:cs="Times New Roman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  <w:t>2.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46CF72F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Neosvinčeni motorni bencin 100 oktanov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7B72D6" w14:textId="49076E92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1.000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F1392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0A2B97D2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l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56BFB4D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0CB477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1828E67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0019280B" w14:textId="77777777" w:rsidTr="00135C9F">
        <w:trPr>
          <w:trHeight w:val="502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702BC7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  <w:t>3.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5D4C19C1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Dizel (standardna kakovost)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84DE40" w14:textId="19710F93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22.000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4F0E9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4AF0CDA4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l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30DEB4A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F9158C8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607B0DE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319E79CF" w14:textId="77777777" w:rsidTr="00135C9F">
        <w:trPr>
          <w:trHeight w:val="502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21D6FB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  <w:t>4.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D4142BD" w14:textId="4B6F2D02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Dizel (visokokakovostno)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AA0ED3" w14:textId="11C6D03A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1.500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6077709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l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76E91ED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D316499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AED0325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6C929664" w14:textId="77777777" w:rsidTr="00135C9F">
        <w:trPr>
          <w:trHeight w:val="502"/>
        </w:trPr>
        <w:tc>
          <w:tcPr>
            <w:tcW w:w="45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B3CC19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color w:val="000000"/>
                <w:spacing w:val="-1"/>
                <w:lang w:eastAsia="sl-SI"/>
              </w:rPr>
              <w:t>5.</w:t>
            </w:r>
          </w:p>
        </w:tc>
        <w:tc>
          <w:tcPr>
            <w:tcW w:w="230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14:paraId="37A9A304" w14:textId="1A230102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Adblue</w:t>
            </w:r>
            <w:proofErr w:type="spellEnd"/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DF9252" w14:textId="4A889F46" w:rsidR="00594034" w:rsidRPr="00C0404D" w:rsidRDefault="00583C79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500</w:t>
            </w:r>
          </w:p>
        </w:tc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14:paraId="78FCFA4D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l</w:t>
            </w:r>
          </w:p>
        </w:tc>
        <w:tc>
          <w:tcPr>
            <w:tcW w:w="16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14:paraId="1C1B43C1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18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14:paraId="56B7C525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14:paraId="63130ACF" w14:textId="77777777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4EA06972" w14:textId="77777777" w:rsidR="00594034" w:rsidRPr="00C0404D" w:rsidRDefault="00594034" w:rsidP="00594034">
      <w:pPr>
        <w:pStyle w:val="Standard"/>
        <w:ind w:right="-95"/>
        <w:rPr>
          <w:rFonts w:ascii="Times New Roman" w:hAnsi="Times New Roman" w:cs="Times New Roman"/>
          <w:vanish/>
        </w:rPr>
      </w:pPr>
    </w:p>
    <w:p w14:paraId="7AFA22A3" w14:textId="77777777" w:rsidR="00594034" w:rsidRPr="00C0404D" w:rsidRDefault="00594034" w:rsidP="00594034">
      <w:pPr>
        <w:pStyle w:val="Standard"/>
        <w:ind w:right="-95"/>
        <w:rPr>
          <w:rFonts w:ascii="Times New Roman" w:hAnsi="Times New Roman" w:cs="Times New Roman"/>
          <w:vanish/>
        </w:rPr>
      </w:pPr>
      <w:r w:rsidRPr="00C0404D">
        <w:rPr>
          <w:rFonts w:ascii="Times New Roman" w:hAnsi="Times New Roman" w:cs="Times New Roman"/>
          <w:vanish/>
        </w:rPr>
        <w:t xml:space="preserve">Nta merekoličina 00).  </w:t>
      </w:r>
    </w:p>
    <w:p w14:paraId="690FBA74" w14:textId="77777777" w:rsidR="00594034" w:rsidRPr="00C0404D" w:rsidRDefault="00594034" w:rsidP="00594034">
      <w:pPr>
        <w:pStyle w:val="Standard"/>
        <w:ind w:right="-95"/>
        <w:rPr>
          <w:rFonts w:ascii="Times New Roman" w:hAnsi="Times New Roman" w:cs="Times New Roman"/>
        </w:rPr>
      </w:pPr>
      <w:r w:rsidRPr="00C0404D">
        <w:rPr>
          <w:rFonts w:ascii="Times New Roman" w:hAnsi="Times New Roman" w:cs="Times New Roman"/>
          <w:vanish/>
        </w:rPr>
        <w:t>očil//ika nja</w:t>
      </w:r>
    </w:p>
    <w:tbl>
      <w:tblPr>
        <w:tblW w:w="5355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0"/>
        <w:gridCol w:w="2845"/>
      </w:tblGrid>
      <w:tr w:rsidR="00594034" w:rsidRPr="00C0404D" w14:paraId="3A735965" w14:textId="77777777" w:rsidTr="0037743D">
        <w:trPr>
          <w:trHeight w:val="495"/>
        </w:trPr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70DC12" w14:textId="063E0E35" w:rsidR="00594034" w:rsidRPr="00C0404D" w:rsidRDefault="00594034" w:rsidP="00594034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 xml:space="preserve">Skupna pogodbena vrednost s popustom brez DDV v EUR </w:t>
            </w:r>
          </w:p>
        </w:tc>
        <w:tc>
          <w:tcPr>
            <w:tcW w:w="2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74F8B" w14:textId="2BAF58C6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right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02C21CDE" w14:textId="77777777" w:rsidTr="0037743D">
        <w:trPr>
          <w:trHeight w:val="457"/>
        </w:trPr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6393F9F" w14:textId="1A4F228B" w:rsidR="00594034" w:rsidRPr="00C0404D" w:rsidRDefault="00594034" w:rsidP="00594034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DDV ______ %</w:t>
            </w:r>
            <w:r w:rsidR="00135C9F" w:rsidRPr="00C0404D">
              <w:rPr>
                <w:rFonts w:ascii="Times New Roman" w:eastAsia="Times New Roman" w:hAnsi="Times New Roman" w:cs="Times New Roman"/>
                <w:lang w:eastAsia="sl-SI"/>
              </w:rPr>
              <w:t xml:space="preserve"> v EUR</w:t>
            </w:r>
          </w:p>
        </w:tc>
        <w:tc>
          <w:tcPr>
            <w:tcW w:w="2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4A9EFE" w14:textId="7617EAFE" w:rsidR="00594034" w:rsidRPr="00C0404D" w:rsidRDefault="00594034" w:rsidP="00C47EC6">
            <w:pPr>
              <w:pStyle w:val="Standard"/>
              <w:widowControl w:val="0"/>
              <w:shd w:val="clear" w:color="auto" w:fill="FFFFFF"/>
              <w:jc w:val="right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594034" w:rsidRPr="00C0404D" w14:paraId="4690407A" w14:textId="77777777" w:rsidTr="0037743D">
        <w:trPr>
          <w:trHeight w:val="457"/>
        </w:trPr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BDA12AA" w14:textId="51BC7D9D" w:rsidR="00594034" w:rsidRPr="00C0404D" w:rsidRDefault="00594034" w:rsidP="00594034">
            <w:pPr>
              <w:pStyle w:val="Standard"/>
              <w:widowControl w:val="0"/>
              <w:shd w:val="clear" w:color="auto" w:fill="FFFFFF"/>
              <w:jc w:val="left"/>
              <w:rPr>
                <w:rFonts w:ascii="Times New Roman" w:eastAsia="Times New Roman" w:hAnsi="Times New Roman" w:cs="Times New Roman"/>
                <w:lang w:eastAsia="sl-SI"/>
              </w:rPr>
            </w:pPr>
            <w:r w:rsidRPr="00C0404D">
              <w:rPr>
                <w:rFonts w:ascii="Times New Roman" w:eastAsia="Times New Roman" w:hAnsi="Times New Roman" w:cs="Times New Roman"/>
                <w:lang w:eastAsia="sl-SI"/>
              </w:rPr>
              <w:t>Skupna pogodbena vrednost z DDV</w:t>
            </w:r>
            <w:r w:rsidR="00135C9F" w:rsidRPr="00C0404D">
              <w:rPr>
                <w:rFonts w:ascii="Times New Roman" w:eastAsia="Times New Roman" w:hAnsi="Times New Roman" w:cs="Times New Roman"/>
                <w:lang w:eastAsia="sl-SI"/>
              </w:rPr>
              <w:t xml:space="preserve"> v EUR</w:t>
            </w:r>
          </w:p>
        </w:tc>
        <w:tc>
          <w:tcPr>
            <w:tcW w:w="2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AEF6F" w14:textId="457544E4" w:rsidR="00594034" w:rsidRPr="00C0404D" w:rsidRDefault="00594034" w:rsidP="00135C9F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27066948" w14:textId="6DFE10E8" w:rsidR="00594034" w:rsidRPr="00C0404D" w:rsidRDefault="00594034" w:rsidP="00594034">
      <w:pPr>
        <w:pStyle w:val="Standard"/>
        <w:keepNext/>
        <w:rPr>
          <w:rFonts w:ascii="Times New Roman" w:hAnsi="Times New Roman" w:cs="Times New Roman"/>
        </w:rPr>
      </w:pPr>
    </w:p>
    <w:p w14:paraId="612E27B9" w14:textId="77200769" w:rsidR="00583C79" w:rsidRPr="00C0404D" w:rsidRDefault="00583C79" w:rsidP="00583C79">
      <w:pPr>
        <w:jc w:val="both"/>
        <w:rPr>
          <w:sz w:val="22"/>
          <w:szCs w:val="22"/>
        </w:rPr>
      </w:pPr>
      <w:r w:rsidRPr="00C0404D">
        <w:rPr>
          <w:sz w:val="22"/>
          <w:szCs w:val="22"/>
        </w:rPr>
        <w:t xml:space="preserve">* Cena na enoto mere neosvinčenega motornega bencina 95 oktanov in dizla ne sme presegati najvišje dovoljene cene po </w:t>
      </w:r>
      <w:r w:rsidR="00760382" w:rsidRPr="00C0404D">
        <w:rPr>
          <w:sz w:val="22"/>
          <w:szCs w:val="22"/>
        </w:rPr>
        <w:t>U</w:t>
      </w:r>
      <w:r w:rsidRPr="00C0404D">
        <w:rPr>
          <w:sz w:val="22"/>
          <w:szCs w:val="22"/>
        </w:rPr>
        <w:t>redb</w:t>
      </w:r>
      <w:r w:rsidR="00760382" w:rsidRPr="00C0404D">
        <w:rPr>
          <w:sz w:val="22"/>
          <w:szCs w:val="22"/>
        </w:rPr>
        <w:t>i in spremembi Uredbe</w:t>
      </w:r>
      <w:r w:rsidRPr="00C0404D">
        <w:rPr>
          <w:sz w:val="22"/>
          <w:szCs w:val="22"/>
        </w:rPr>
        <w:t xml:space="preserve">, ki ureja oblikovanje cen določenih naftnih derivatov, na dan oddaje ponudbe. Cena navedenih goriv se bo v obdobju veljavnosti Pogodbe oblikovala skladno z metodologijo po navedeni uredbi, ob upoštevanju popusta, navedenega v tej ponudbi. Odstotek popusta na enoto mere za vse vrste goriv je fiksen in nespremenljiv celotno obdobje veljavnosti Pogodbe. </w:t>
      </w:r>
    </w:p>
    <w:p w14:paraId="69E5D8D9" w14:textId="77777777" w:rsidR="00583C79" w:rsidRPr="00C0404D" w:rsidRDefault="00583C79" w:rsidP="00583C79">
      <w:pPr>
        <w:jc w:val="both"/>
        <w:rPr>
          <w:sz w:val="22"/>
          <w:szCs w:val="22"/>
        </w:rPr>
      </w:pPr>
    </w:p>
    <w:p w14:paraId="3B9EC03C" w14:textId="77777777" w:rsidR="00B6622A" w:rsidRPr="00C0404D" w:rsidRDefault="00B6622A" w:rsidP="00B6622A">
      <w:pPr>
        <w:jc w:val="both"/>
        <w:rPr>
          <w:sz w:val="22"/>
          <w:szCs w:val="22"/>
        </w:rPr>
      </w:pPr>
      <w:r w:rsidRPr="00C0404D">
        <w:rPr>
          <w:sz w:val="22"/>
          <w:szCs w:val="22"/>
        </w:rPr>
        <w:t xml:space="preserve">Ponujeni popust </w:t>
      </w:r>
      <w:r w:rsidR="0022462C" w:rsidRPr="00C0404D">
        <w:rPr>
          <w:sz w:val="22"/>
          <w:szCs w:val="22"/>
        </w:rPr>
        <w:t xml:space="preserve"> p</w:t>
      </w:r>
      <w:r w:rsidRPr="00C0404D">
        <w:rPr>
          <w:sz w:val="22"/>
          <w:szCs w:val="22"/>
        </w:rPr>
        <w:t>redstavlja merilo za izbor najugodnejšega ponudnika.</w:t>
      </w:r>
    </w:p>
    <w:p w14:paraId="1C3A073D" w14:textId="77777777" w:rsidR="00135C9F" w:rsidRPr="00C0404D" w:rsidRDefault="00135C9F" w:rsidP="00B6622A">
      <w:pPr>
        <w:spacing w:line="276" w:lineRule="auto"/>
        <w:jc w:val="both"/>
        <w:rPr>
          <w:sz w:val="22"/>
          <w:szCs w:val="22"/>
        </w:rPr>
      </w:pPr>
    </w:p>
    <w:p w14:paraId="39191051" w14:textId="5CD7C3CB" w:rsidR="008F1842" w:rsidRPr="00C0404D" w:rsidRDefault="003124A6" w:rsidP="003124A6">
      <w:pPr>
        <w:jc w:val="both"/>
        <w:rPr>
          <w:sz w:val="22"/>
          <w:szCs w:val="22"/>
        </w:rPr>
      </w:pPr>
      <w:r w:rsidRPr="00C0404D">
        <w:rPr>
          <w:sz w:val="22"/>
          <w:szCs w:val="22"/>
        </w:rPr>
        <w:t>Ponudnik s podpisom predračuna izjavlja, da zagotavlja spodaj navedene zahteve naročnika in dodatno navaja podatke o razpoložljivosti in sicer</w:t>
      </w:r>
      <w:bookmarkStart w:id="0" w:name="_Hlk509563459"/>
      <w:r w:rsidR="0037743D" w:rsidRPr="00C0404D">
        <w:rPr>
          <w:sz w:val="22"/>
          <w:szCs w:val="22"/>
        </w:rPr>
        <w:t>:</w:t>
      </w:r>
    </w:p>
    <w:p w14:paraId="730B7BF1" w14:textId="5F62C7D4" w:rsidR="003124A6" w:rsidRPr="00C0404D" w:rsidRDefault="0037743D" w:rsidP="0037743D">
      <w:pPr>
        <w:pStyle w:val="Odstavekseznama"/>
        <w:numPr>
          <w:ilvl w:val="0"/>
          <w:numId w:val="5"/>
        </w:numPr>
        <w:spacing w:after="100" w:afterAutospacing="1"/>
        <w:jc w:val="both"/>
        <w:rPr>
          <w:sz w:val="22"/>
          <w:szCs w:val="22"/>
        </w:rPr>
      </w:pPr>
      <w:r w:rsidRPr="00C0404D">
        <w:rPr>
          <w:sz w:val="22"/>
          <w:szCs w:val="22"/>
        </w:rPr>
        <w:t>k</w:t>
      </w:r>
      <w:r w:rsidR="003124A6" w:rsidRPr="00C0404D">
        <w:rPr>
          <w:sz w:val="22"/>
          <w:szCs w:val="22"/>
        </w:rPr>
        <w:t>ot ponudnik razpolagamo z najmanj  enim bencinskih servis</w:t>
      </w:r>
      <w:r w:rsidR="00F3530A" w:rsidRPr="00C0404D">
        <w:rPr>
          <w:sz w:val="22"/>
          <w:szCs w:val="22"/>
        </w:rPr>
        <w:t>om</w:t>
      </w:r>
      <w:r w:rsidR="003124A6" w:rsidRPr="00C0404D">
        <w:rPr>
          <w:sz w:val="22"/>
          <w:szCs w:val="22"/>
        </w:rPr>
        <w:t>, ki od sedeža naročnika ni oddaljen več kot 3 km</w:t>
      </w:r>
      <w:r w:rsidRPr="00C0404D">
        <w:rPr>
          <w:sz w:val="22"/>
          <w:szCs w:val="22"/>
        </w:rPr>
        <w:t>. N</w:t>
      </w:r>
      <w:r w:rsidR="003124A6" w:rsidRPr="00C0404D">
        <w:rPr>
          <w:sz w:val="22"/>
          <w:szCs w:val="22"/>
        </w:rPr>
        <w:t>avajamo točen naslov servisa:</w:t>
      </w:r>
      <w:r w:rsidRPr="00C0404D">
        <w:rPr>
          <w:sz w:val="22"/>
          <w:szCs w:val="22"/>
        </w:rPr>
        <w:t xml:space="preserve"> _________</w:t>
      </w:r>
    </w:p>
    <w:p w14:paraId="57392FD8" w14:textId="633B9185" w:rsidR="003124A6" w:rsidRPr="00C0404D" w:rsidRDefault="0037743D" w:rsidP="0037743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t>n</w:t>
      </w:r>
      <w:r w:rsidR="003124A6" w:rsidRPr="00C0404D">
        <w:rPr>
          <w:sz w:val="22"/>
          <w:szCs w:val="22"/>
        </w:rPr>
        <w:t>avedeni bencinski servis  zagotavlja dobavo - prevzem goriva od 6.00 do 22.00 ure vse dni v letu;</w:t>
      </w:r>
    </w:p>
    <w:p w14:paraId="47ED5BDE" w14:textId="1856D7DC" w:rsidR="003124A6" w:rsidRPr="00C0404D" w:rsidRDefault="0037743D" w:rsidP="0037743D">
      <w:pPr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t>z</w:t>
      </w:r>
      <w:r w:rsidR="003124A6" w:rsidRPr="00C0404D">
        <w:rPr>
          <w:sz w:val="22"/>
          <w:szCs w:val="22"/>
        </w:rPr>
        <w:t>agotavljamo najmanj po eno prodajno mesto v vsakem večjem kraju v Sloveniji (ponudnik mora priložiti seznam prodajnih mest z naslovi prodajnih mest);</w:t>
      </w:r>
    </w:p>
    <w:p w14:paraId="77EA2AC9" w14:textId="7B06A742" w:rsidR="003124A6" w:rsidRPr="00C0404D" w:rsidRDefault="003124A6" w:rsidP="0037743D">
      <w:pPr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lastRenderedPageBreak/>
        <w:t>da zagotavljamo 24 urno prodajno mrežo dežurnih bencinskih servisov, ki zagotavljajo naročniku nemoteno delovanje na območju avtocest;</w:t>
      </w:r>
    </w:p>
    <w:p w14:paraId="6D786ABC" w14:textId="4EC98CBB" w:rsidR="003124A6" w:rsidRPr="00C0404D" w:rsidRDefault="003124A6" w:rsidP="0037743D">
      <w:pPr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t xml:space="preserve">izjavljamo, da bomo za plačilo goriva na bencinskih servisih za vsako vozilo izdali plačilno kartico, na kateri se bodo obračunali nakupi, ki bodo podlaga za izstavitev </w:t>
      </w:r>
      <w:proofErr w:type="spellStart"/>
      <w:r w:rsidRPr="00C0404D">
        <w:rPr>
          <w:sz w:val="22"/>
          <w:szCs w:val="22"/>
        </w:rPr>
        <w:t>eRačuna</w:t>
      </w:r>
      <w:proofErr w:type="spellEnd"/>
      <w:r w:rsidRPr="00C0404D">
        <w:rPr>
          <w:sz w:val="22"/>
          <w:szCs w:val="22"/>
        </w:rPr>
        <w:t xml:space="preserve"> </w:t>
      </w:r>
      <w:r w:rsidR="00F3530A" w:rsidRPr="00C0404D">
        <w:rPr>
          <w:sz w:val="22"/>
          <w:szCs w:val="22"/>
        </w:rPr>
        <w:t xml:space="preserve">za </w:t>
      </w:r>
      <w:r w:rsidRPr="00C0404D">
        <w:rPr>
          <w:sz w:val="22"/>
          <w:szCs w:val="22"/>
        </w:rPr>
        <w:t>enomesečno obdobje;</w:t>
      </w:r>
    </w:p>
    <w:p w14:paraId="049B3F90" w14:textId="34081404" w:rsidR="003124A6" w:rsidRPr="00C0404D" w:rsidRDefault="003124A6" w:rsidP="0037743D">
      <w:pPr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t xml:space="preserve">izjavljamo, da bo </w:t>
      </w:r>
      <w:r w:rsidR="00F3530A" w:rsidRPr="00C0404D">
        <w:rPr>
          <w:sz w:val="22"/>
          <w:szCs w:val="22"/>
        </w:rPr>
        <w:t xml:space="preserve">na mesečnem </w:t>
      </w:r>
      <w:proofErr w:type="spellStart"/>
      <w:r w:rsidR="00F3530A" w:rsidRPr="00C0404D">
        <w:rPr>
          <w:sz w:val="22"/>
          <w:szCs w:val="22"/>
        </w:rPr>
        <w:t>eRačunu</w:t>
      </w:r>
      <w:proofErr w:type="spellEnd"/>
      <w:r w:rsidRPr="00C0404D">
        <w:rPr>
          <w:sz w:val="22"/>
          <w:szCs w:val="22"/>
        </w:rPr>
        <w:t xml:space="preserve"> specificira</w:t>
      </w:r>
      <w:r w:rsidR="00F3530A" w:rsidRPr="00C0404D">
        <w:rPr>
          <w:sz w:val="22"/>
          <w:szCs w:val="22"/>
        </w:rPr>
        <w:t>na nabava po reg. številka oz. po vozilih po vrsta</w:t>
      </w:r>
      <w:r w:rsidRPr="00C0404D">
        <w:rPr>
          <w:sz w:val="22"/>
          <w:szCs w:val="22"/>
        </w:rPr>
        <w:t>h blaga;</w:t>
      </w:r>
    </w:p>
    <w:p w14:paraId="52E2271E" w14:textId="77777777" w:rsidR="003124A6" w:rsidRPr="00C0404D" w:rsidRDefault="003124A6" w:rsidP="0037743D">
      <w:pPr>
        <w:numPr>
          <w:ilvl w:val="0"/>
          <w:numId w:val="5"/>
        </w:numPr>
        <w:jc w:val="both"/>
        <w:rPr>
          <w:sz w:val="22"/>
          <w:szCs w:val="22"/>
        </w:rPr>
      </w:pPr>
      <w:r w:rsidRPr="00C0404D">
        <w:rPr>
          <w:sz w:val="22"/>
          <w:szCs w:val="22"/>
        </w:rPr>
        <w:t>izjavljamo, da  bomo naročniku brezplačno izstavili novo kartico za vsako novo vozilo naročnika, naročnik pa bo prodajalcu vrnil ali po dogovoru sam uničil kartico za vozila, ki jih ne bo več uporabljal.</w:t>
      </w:r>
    </w:p>
    <w:bookmarkEnd w:id="0"/>
    <w:p w14:paraId="49037F64" w14:textId="77777777" w:rsidR="003124A6" w:rsidRPr="00C0404D" w:rsidRDefault="003124A6" w:rsidP="003124A6">
      <w:pPr>
        <w:ind w:left="720"/>
        <w:jc w:val="both"/>
        <w:rPr>
          <w:sz w:val="22"/>
          <w:szCs w:val="22"/>
        </w:rPr>
      </w:pPr>
    </w:p>
    <w:p w14:paraId="263B02D6" w14:textId="77777777" w:rsidR="003124A6" w:rsidRPr="00C0404D" w:rsidRDefault="003124A6" w:rsidP="00B6622A">
      <w:pPr>
        <w:spacing w:line="276" w:lineRule="auto"/>
        <w:jc w:val="both"/>
        <w:rPr>
          <w:sz w:val="22"/>
          <w:szCs w:val="22"/>
        </w:rPr>
      </w:pPr>
    </w:p>
    <w:p w14:paraId="40E8879C" w14:textId="77777777" w:rsidR="00B6622A" w:rsidRPr="00C0404D" w:rsidRDefault="00B6622A" w:rsidP="00B6622A">
      <w:pPr>
        <w:spacing w:line="276" w:lineRule="auto"/>
        <w:jc w:val="both"/>
        <w:rPr>
          <w:sz w:val="22"/>
          <w:szCs w:val="22"/>
        </w:rPr>
      </w:pPr>
      <w:r w:rsidRPr="00C0404D">
        <w:rPr>
          <w:sz w:val="22"/>
          <w:szCs w:val="22"/>
        </w:rPr>
        <w:t>S podpisom ponudnik izjavlja, da so mu znani pogoji naročnika in da jih je v celoti sposoben zagotavljati.</w:t>
      </w:r>
    </w:p>
    <w:p w14:paraId="33A74A88" w14:textId="77777777" w:rsidR="00B6622A" w:rsidRPr="00C0404D" w:rsidRDefault="00B6622A" w:rsidP="00B6622A">
      <w:pPr>
        <w:spacing w:line="276" w:lineRule="auto"/>
        <w:jc w:val="both"/>
        <w:rPr>
          <w:sz w:val="22"/>
          <w:szCs w:val="22"/>
        </w:rPr>
      </w:pPr>
    </w:p>
    <w:p w14:paraId="33E31B99" w14:textId="77777777" w:rsidR="00B6622A" w:rsidRPr="00C0404D" w:rsidRDefault="00B6622A" w:rsidP="00B6622A">
      <w:pPr>
        <w:jc w:val="both"/>
        <w:rPr>
          <w:sz w:val="22"/>
          <w:szCs w:val="22"/>
        </w:rPr>
      </w:pPr>
      <w:r w:rsidRPr="00C0404D">
        <w:rPr>
          <w:sz w:val="22"/>
          <w:szCs w:val="22"/>
        </w:rPr>
        <w:t>Kraj in datum: ______________</w:t>
      </w:r>
    </w:p>
    <w:p w14:paraId="2AA68E68" w14:textId="77777777" w:rsidR="00B6622A" w:rsidRPr="00C0404D" w:rsidRDefault="00B6622A" w:rsidP="00B6622A">
      <w:pPr>
        <w:jc w:val="both"/>
        <w:rPr>
          <w:sz w:val="22"/>
          <w:szCs w:val="22"/>
        </w:rPr>
      </w:pPr>
    </w:p>
    <w:p w14:paraId="52B1ECBE" w14:textId="77777777" w:rsidR="00B6622A" w:rsidRPr="00C0404D" w:rsidRDefault="00B6622A" w:rsidP="00B6622A">
      <w:pPr>
        <w:jc w:val="center"/>
        <w:rPr>
          <w:sz w:val="22"/>
          <w:szCs w:val="22"/>
        </w:rPr>
      </w:pPr>
    </w:p>
    <w:p w14:paraId="0ED42160" w14:textId="45BA20CD" w:rsidR="00B6622A" w:rsidRPr="00C0404D" w:rsidRDefault="000A26A7" w:rsidP="00B6622A">
      <w:pPr>
        <w:jc w:val="center"/>
        <w:rPr>
          <w:sz w:val="22"/>
          <w:szCs w:val="22"/>
        </w:rPr>
      </w:pPr>
      <w:r w:rsidRPr="00C0404D">
        <w:rPr>
          <w:sz w:val="22"/>
          <w:szCs w:val="22"/>
        </w:rPr>
        <w:t xml:space="preserve">                                                  </w:t>
      </w:r>
      <w:r w:rsidR="00B6622A" w:rsidRPr="00C0404D">
        <w:rPr>
          <w:sz w:val="22"/>
          <w:szCs w:val="22"/>
        </w:rPr>
        <w:t>Žig in podpis ponudnika:</w:t>
      </w:r>
    </w:p>
    <w:p w14:paraId="7B110603" w14:textId="77777777" w:rsidR="006B00DB" w:rsidRPr="00C0404D" w:rsidRDefault="006B00DB">
      <w:pPr>
        <w:rPr>
          <w:sz w:val="22"/>
          <w:szCs w:val="22"/>
        </w:rPr>
      </w:pPr>
    </w:p>
    <w:sectPr w:rsidR="006B00DB" w:rsidRPr="00C0404D" w:rsidSect="00B6622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985" w:right="1418" w:bottom="1985" w:left="1418" w:header="0" w:footer="24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BD6B9" w14:textId="77777777" w:rsidR="002F1960" w:rsidRDefault="002F1960">
      <w:r>
        <w:separator/>
      </w:r>
    </w:p>
  </w:endnote>
  <w:endnote w:type="continuationSeparator" w:id="0">
    <w:p w14:paraId="6C755594" w14:textId="77777777" w:rsidR="002F1960" w:rsidRDefault="002F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BEC7" w14:textId="77777777" w:rsidR="00A04763" w:rsidRDefault="00B6622A" w:rsidP="0049433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06ECB9D" w14:textId="77777777" w:rsidR="00A04763" w:rsidRDefault="00000000" w:rsidP="00B66088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2665" w14:textId="77777777" w:rsidR="00A04763" w:rsidRDefault="00B6622A" w:rsidP="0049433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124A6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EE1D6AC" w14:textId="77777777" w:rsidR="00A04763" w:rsidRDefault="00000000" w:rsidP="00B66088">
    <w:pPr>
      <w:pStyle w:val="Noga"/>
      <w:ind w:left="-1418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831F" w14:textId="77777777" w:rsidR="00A04763" w:rsidRDefault="00000000" w:rsidP="00C37D60">
    <w:pPr>
      <w:pStyle w:val="Noga"/>
      <w:tabs>
        <w:tab w:val="clear" w:pos="8640"/>
      </w:tabs>
      <w:ind w:left="-1418" w:right="-141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0050" w14:textId="77777777" w:rsidR="002F1960" w:rsidRDefault="002F1960">
      <w:r>
        <w:separator/>
      </w:r>
    </w:p>
  </w:footnote>
  <w:footnote w:type="continuationSeparator" w:id="0">
    <w:p w14:paraId="04D5CD35" w14:textId="77777777" w:rsidR="002F1960" w:rsidRDefault="002F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AE94" w14:textId="77777777" w:rsidR="00E56F45" w:rsidRDefault="00000000">
    <w:pPr>
      <w:pStyle w:val="Glava"/>
      <w:rPr>
        <w:noProof/>
      </w:rPr>
    </w:pPr>
  </w:p>
  <w:p w14:paraId="4E3A51FC" w14:textId="77777777" w:rsidR="00E56F45" w:rsidRDefault="00000000">
    <w:pPr>
      <w:pStyle w:val="Glava"/>
      <w:rPr>
        <w:noProof/>
      </w:rPr>
    </w:pPr>
  </w:p>
  <w:p w14:paraId="2E6811CE" w14:textId="1046E0D9" w:rsidR="00E56F45" w:rsidRDefault="000000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DBD0" w14:textId="77777777" w:rsidR="0020031D" w:rsidRDefault="00000000" w:rsidP="003436D1">
    <w:pPr>
      <w:pStyle w:val="Glava"/>
      <w:tabs>
        <w:tab w:val="clear" w:pos="8640"/>
      </w:tabs>
      <w:ind w:left="-1418" w:right="-1418"/>
      <w:jc w:val="center"/>
    </w:pPr>
  </w:p>
  <w:p w14:paraId="29799AFF" w14:textId="77777777" w:rsidR="0020031D" w:rsidRDefault="00B6622A" w:rsidP="00E56F45">
    <w:pPr>
      <w:pStyle w:val="Glava"/>
      <w:tabs>
        <w:tab w:val="clear" w:pos="8640"/>
      </w:tabs>
      <w:ind w:left="-1418" w:right="-1418"/>
      <w:jc w:val="center"/>
    </w:pPr>
    <w:r>
      <w:rPr>
        <w:noProof/>
      </w:rPr>
      <w:drawing>
        <wp:inline distT="0" distB="0" distL="0" distR="0" wp14:anchorId="4598942A" wp14:editId="0978DF5C">
          <wp:extent cx="5772150" cy="5524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91416"/>
    <w:multiLevelType w:val="hybridMultilevel"/>
    <w:tmpl w:val="6B921DC8"/>
    <w:lvl w:ilvl="0" w:tplc="B750F884">
      <w:start w:val="4"/>
      <w:numFmt w:val="bullet"/>
      <w:lvlText w:val="-"/>
      <w:lvlJc w:val="left"/>
      <w:pPr>
        <w:ind w:left="11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4EF01B88"/>
    <w:multiLevelType w:val="hybridMultilevel"/>
    <w:tmpl w:val="AA7A96F8"/>
    <w:lvl w:ilvl="0" w:tplc="06EE4446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7130C"/>
    <w:multiLevelType w:val="hybridMultilevel"/>
    <w:tmpl w:val="B94884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B6FF8"/>
    <w:multiLevelType w:val="hybridMultilevel"/>
    <w:tmpl w:val="2E1093A2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3FD31F8"/>
    <w:multiLevelType w:val="hybridMultilevel"/>
    <w:tmpl w:val="64CEC318"/>
    <w:lvl w:ilvl="0" w:tplc="06EE4446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522479">
    <w:abstractNumId w:val="4"/>
  </w:num>
  <w:num w:numId="2" w16cid:durableId="640112024">
    <w:abstractNumId w:val="3"/>
  </w:num>
  <w:num w:numId="3" w16cid:durableId="1711494261">
    <w:abstractNumId w:val="0"/>
  </w:num>
  <w:num w:numId="4" w16cid:durableId="1109425569">
    <w:abstractNumId w:val="2"/>
  </w:num>
  <w:num w:numId="5" w16cid:durableId="13029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22A"/>
    <w:rsid w:val="000226DF"/>
    <w:rsid w:val="000A26A7"/>
    <w:rsid w:val="00135C9F"/>
    <w:rsid w:val="0022462C"/>
    <w:rsid w:val="002F1960"/>
    <w:rsid w:val="003124A6"/>
    <w:rsid w:val="003301E9"/>
    <w:rsid w:val="0037743D"/>
    <w:rsid w:val="00583C79"/>
    <w:rsid w:val="00594034"/>
    <w:rsid w:val="005A2F70"/>
    <w:rsid w:val="0063233D"/>
    <w:rsid w:val="006A223C"/>
    <w:rsid w:val="006B00DB"/>
    <w:rsid w:val="00760382"/>
    <w:rsid w:val="008467D7"/>
    <w:rsid w:val="00847EFD"/>
    <w:rsid w:val="008F1842"/>
    <w:rsid w:val="00960ACE"/>
    <w:rsid w:val="00A34E92"/>
    <w:rsid w:val="00B6622A"/>
    <w:rsid w:val="00C0404D"/>
    <w:rsid w:val="00C36B8B"/>
    <w:rsid w:val="00CC3DB4"/>
    <w:rsid w:val="00D0292D"/>
    <w:rsid w:val="00D84306"/>
    <w:rsid w:val="00E05537"/>
    <w:rsid w:val="00E82668"/>
    <w:rsid w:val="00F3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40B7"/>
  <w15:chartTrackingRefBased/>
  <w15:docId w15:val="{23C9A1E6-4603-4913-A291-D5266B0A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6622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B6622A"/>
    <w:pPr>
      <w:keepNext/>
      <w:jc w:val="both"/>
      <w:outlineLvl w:val="0"/>
    </w:pPr>
    <w:rPr>
      <w:b/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6622A"/>
    <w:rPr>
      <w:rFonts w:ascii="Times New Roman" w:eastAsia="Times New Roman" w:hAnsi="Times New Roman" w:cs="Times New Roman"/>
      <w:b/>
      <w:szCs w:val="20"/>
      <w:u w:val="single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B6622A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B6622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B6622A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B6622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B6622A"/>
  </w:style>
  <w:style w:type="paragraph" w:styleId="Odstavekseznama">
    <w:name w:val="List Paragraph"/>
    <w:basedOn w:val="Navaden"/>
    <w:uiPriority w:val="34"/>
    <w:qFormat/>
    <w:rsid w:val="003124A6"/>
    <w:pPr>
      <w:ind w:left="720"/>
      <w:contextualSpacing/>
    </w:pPr>
  </w:style>
  <w:style w:type="paragraph" w:customStyle="1" w:styleId="Standard">
    <w:name w:val="Standard"/>
    <w:qFormat/>
    <w:rsid w:val="00594034"/>
    <w:pPr>
      <w:suppressAutoHyphens/>
      <w:autoSpaceDN w:val="0"/>
      <w:spacing w:after="0" w:line="276" w:lineRule="auto"/>
      <w:ind w:right="6"/>
      <w:jc w:val="both"/>
      <w:textAlignment w:val="baseline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Marinka Prešeren</dc:creator>
  <cp:keywords/>
  <dc:description/>
  <cp:lastModifiedBy>RA01</cp:lastModifiedBy>
  <cp:revision>2</cp:revision>
  <cp:lastPrinted>2022-09-23T11:13:00Z</cp:lastPrinted>
  <dcterms:created xsi:type="dcterms:W3CDTF">2022-09-30T09:25:00Z</dcterms:created>
  <dcterms:modified xsi:type="dcterms:W3CDTF">2022-09-30T09:25:00Z</dcterms:modified>
</cp:coreProperties>
</file>